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F4D93" w:rsidRPr="008F4D93">
        <w:rPr>
          <w:rFonts w:cs="Arial"/>
          <w:sz w:val="28"/>
          <w:szCs w:val="28"/>
        </w:rPr>
        <w:t>Der Stern</w:t>
      </w:r>
    </w:p>
    <w:p w:rsidR="00694A63" w:rsidRPr="00694A63" w:rsidRDefault="00694A63">
      <w:pPr>
        <w:pStyle w:val="IQB-Teilaufgabentitel"/>
        <w:rPr>
          <w:b/>
        </w:rPr>
      </w:pP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8F4D93" w:rsidTr="008F4D93">
        <w:tc>
          <w:tcPr>
            <w:tcW w:w="2466" w:type="dxa"/>
            <w:tcBorders>
              <w:top w:val="single" w:sz="4" w:space="0" w:color="auto"/>
              <w:left w:val="single" w:sz="4" w:space="0" w:color="auto"/>
              <w:bottom w:val="dotted" w:sz="4" w:space="0" w:color="auto"/>
              <w:right w:val="dotted" w:sz="4" w:space="0" w:color="auto"/>
            </w:tcBorders>
            <w:vAlign w:val="center"/>
            <w:hideMark/>
          </w:tcPr>
          <w:p w:rsidR="008F4D93" w:rsidRDefault="008F4D93">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8F4D93" w:rsidRDefault="008F4D93">
            <w:pPr>
              <w:pStyle w:val="IQB-Merkmalswert"/>
              <w:rPr>
                <w:rFonts w:cs="Arial"/>
              </w:rPr>
            </w:pPr>
            <w:r>
              <w:rPr>
                <w:rFonts w:cs="Arial"/>
              </w:rPr>
              <w:t>2. Messen</w:t>
            </w:r>
          </w:p>
        </w:tc>
      </w:tr>
      <w:tr w:rsidR="008F4D93" w:rsidTr="008F4D93">
        <w:tc>
          <w:tcPr>
            <w:tcW w:w="2466" w:type="dxa"/>
            <w:tcBorders>
              <w:top w:val="dotted" w:sz="4" w:space="0" w:color="auto"/>
              <w:left w:val="single" w:sz="4" w:space="0" w:color="auto"/>
              <w:bottom w:val="dotted" w:sz="4" w:space="0" w:color="auto"/>
              <w:right w:val="dotted" w:sz="4" w:space="0" w:color="auto"/>
            </w:tcBorders>
            <w:vAlign w:val="center"/>
            <w:hideMark/>
          </w:tcPr>
          <w:p w:rsidR="008F4D93" w:rsidRDefault="008F4D93">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8F4D93" w:rsidRDefault="008F4D93">
            <w:pPr>
              <w:pStyle w:val="IQB-Merkmalswert"/>
              <w:rPr>
                <w:rFonts w:cs="Arial"/>
              </w:rPr>
            </w:pPr>
            <w:r>
              <w:rPr>
                <w:rFonts w:cs="Arial"/>
              </w:rPr>
              <w:t>Mathematische Darstellungen verwenden (K4)</w:t>
            </w:r>
          </w:p>
          <w:p w:rsidR="008F4D93" w:rsidRDefault="008F4D93">
            <w:pPr>
              <w:pStyle w:val="IQB-Merkmalswert"/>
              <w:rPr>
                <w:rFonts w:cs="Arial"/>
              </w:rPr>
            </w:pPr>
            <w:r>
              <w:rPr>
                <w:rFonts w:cs="Arial"/>
              </w:rPr>
              <w:t>Mit symbolischen, formalen und technischen Elementen der Mathematik umgehen (K5)</w:t>
            </w:r>
          </w:p>
        </w:tc>
      </w:tr>
      <w:tr w:rsidR="008F4D93" w:rsidTr="008F4D93">
        <w:tc>
          <w:tcPr>
            <w:tcW w:w="2466" w:type="dxa"/>
            <w:tcBorders>
              <w:top w:val="dotted" w:sz="4" w:space="0" w:color="auto"/>
              <w:left w:val="single" w:sz="4" w:space="0" w:color="auto"/>
              <w:bottom w:val="dotted" w:sz="4" w:space="0" w:color="auto"/>
              <w:right w:val="dotted" w:sz="4" w:space="0" w:color="auto"/>
            </w:tcBorders>
            <w:vAlign w:val="center"/>
            <w:hideMark/>
          </w:tcPr>
          <w:p w:rsidR="008F4D93" w:rsidRDefault="008F4D93">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8F4D93" w:rsidRDefault="008F4D93">
            <w:pPr>
              <w:pStyle w:val="IQB-Merkmalswert"/>
              <w:rPr>
                <w:rFonts w:cs="Arial"/>
              </w:rPr>
            </w:pPr>
            <w:r>
              <w:rPr>
                <w:rFonts w:cs="Arial"/>
              </w:rPr>
              <w:t>II</w:t>
            </w:r>
          </w:p>
        </w:tc>
      </w:tr>
      <w:tr w:rsidR="008F4D93" w:rsidTr="008F4D93">
        <w:tc>
          <w:tcPr>
            <w:tcW w:w="2466" w:type="dxa"/>
            <w:tcBorders>
              <w:top w:val="dotted" w:sz="4" w:space="0" w:color="auto"/>
              <w:left w:val="single" w:sz="4" w:space="0" w:color="auto"/>
              <w:bottom w:val="single" w:sz="4" w:space="0" w:color="auto"/>
              <w:right w:val="dotted" w:sz="4" w:space="0" w:color="auto"/>
            </w:tcBorders>
            <w:vAlign w:val="center"/>
            <w:hideMark/>
          </w:tcPr>
          <w:p w:rsidR="008F4D93" w:rsidRDefault="008F4D93">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8F4D93" w:rsidRDefault="008F4D93">
            <w:pPr>
              <w:pStyle w:val="IQB-Merkmalswert"/>
              <w:rPr>
                <w:rFonts w:cs="Arial"/>
              </w:rPr>
            </w:pPr>
            <w:r>
              <w:rPr>
                <w:rFonts w:cs="Arial"/>
              </w:rPr>
              <w:t>2</w:t>
            </w:r>
          </w:p>
        </w:tc>
      </w:tr>
    </w:tbl>
    <w:p w:rsidR="00694A63" w:rsidRPr="00694A63" w:rsidRDefault="00694A63" w:rsidP="00694A63">
      <w:pPr>
        <w:pStyle w:val="IQB-Teilaufgabentitel"/>
        <w:rPr>
          <w:b/>
        </w:rPr>
      </w:pPr>
      <w:r w:rsidRPr="00694A63">
        <w:rPr>
          <w:b/>
        </w:rPr>
        <w:t>Aufgabenbezogener Kommentar</w:t>
      </w:r>
    </w:p>
    <w:p w:rsidR="008F4D93" w:rsidRDefault="008F4D93" w:rsidP="008F4D93">
      <w:pPr>
        <w:pStyle w:val="IQB-AnweisungenText"/>
        <w:spacing w:before="0"/>
        <w:rPr>
          <w:rFonts w:ascii="Arial" w:hAnsi="Arial"/>
          <w:sz w:val="22"/>
          <w:szCs w:val="22"/>
        </w:rPr>
      </w:pPr>
      <w:r>
        <w:rPr>
          <w:rFonts w:ascii="Arial" w:hAnsi="Arial"/>
          <w:sz w:val="22"/>
          <w:szCs w:val="22"/>
        </w:rPr>
        <w:t xml:space="preserve">Die Aufgabe ist der Leitidee </w:t>
      </w:r>
      <w:r>
        <w:rPr>
          <w:rFonts w:ascii="Arial" w:hAnsi="Arial"/>
          <w:i/>
          <w:sz w:val="22"/>
          <w:szCs w:val="22"/>
        </w:rPr>
        <w:t>Messen</w:t>
      </w:r>
      <w:r>
        <w:rPr>
          <w:rFonts w:ascii="Arial" w:hAnsi="Arial"/>
          <w:sz w:val="22"/>
          <w:szCs w:val="22"/>
        </w:rPr>
        <w:t xml:space="preserve"> (L2) zuzuordnen, da der Flächeninhalt einer Figur bestimmt werden soll. Dazu muss der gegebenen Figur die Maßangabe von 1 cm pro Kästchen entnommen und zur weiteren Berechnung verwendet werden.</w:t>
      </w:r>
    </w:p>
    <w:p w:rsidR="008F4D93" w:rsidRDefault="008F4D93" w:rsidP="008F4D93">
      <w:pPr>
        <w:pStyle w:val="IQB-AnweisungenText"/>
        <w:rPr>
          <w:rFonts w:ascii="Arial" w:hAnsi="Arial"/>
          <w:sz w:val="22"/>
          <w:szCs w:val="22"/>
        </w:rPr>
      </w:pPr>
      <w:r>
        <w:rPr>
          <w:rFonts w:ascii="Arial" w:hAnsi="Arial"/>
          <w:sz w:val="22"/>
          <w:szCs w:val="22"/>
        </w:rPr>
        <w:t xml:space="preserve">Das Lösen der Aufgabe erfordert Kompetenzen im Bereich </w:t>
      </w:r>
      <w:r>
        <w:rPr>
          <w:rFonts w:ascii="Arial" w:hAnsi="Arial"/>
          <w:i/>
          <w:sz w:val="22"/>
          <w:szCs w:val="22"/>
        </w:rPr>
        <w:t>Mathematische Darstellungen verwenden</w:t>
      </w:r>
      <w:r>
        <w:rPr>
          <w:rFonts w:ascii="Arial" w:hAnsi="Arial"/>
          <w:sz w:val="22"/>
          <w:szCs w:val="22"/>
        </w:rPr>
        <w:t xml:space="preserve"> (K4). Denn die Schülerinnen und Schüler müssen mit der gegebenen mathematischen Darstellung umgehen und ggf. neue Darstellungen erzeugen, um die Frage zu beantworten. Dazu ist es zudem notwendig, dass sie mit den geometrischen Objekten und den errechneten Größen Operationen vornehmen, was Kompetenzen im Bereich </w:t>
      </w:r>
      <w:r>
        <w:rPr>
          <w:rFonts w:ascii="Arial" w:hAnsi="Arial"/>
          <w:i/>
          <w:sz w:val="22"/>
          <w:szCs w:val="22"/>
        </w:rPr>
        <w:t>Mit symbolischen, formalen und technischen Elementen der Mathematik umgehen</w:t>
      </w:r>
      <w:r>
        <w:rPr>
          <w:rFonts w:ascii="Arial" w:hAnsi="Arial"/>
          <w:sz w:val="22"/>
          <w:szCs w:val="22"/>
        </w:rPr>
        <w:t xml:space="preserve"> (K5) erfordert.</w:t>
      </w:r>
    </w:p>
    <w:p w:rsidR="008F4D93" w:rsidRDefault="008F4D93" w:rsidP="008F4D93">
      <w:pPr>
        <w:pStyle w:val="IQB-AnweisungenText"/>
        <w:rPr>
          <w:rFonts w:ascii="Arial" w:hAnsi="Arial"/>
          <w:sz w:val="22"/>
          <w:szCs w:val="22"/>
        </w:rPr>
      </w:pPr>
      <w:r>
        <w:rPr>
          <w:rFonts w:ascii="Arial" w:hAnsi="Arial"/>
          <w:sz w:val="22"/>
          <w:szCs w:val="22"/>
        </w:rPr>
        <w:t>Die Aufgabe erfordert das verständige Interpretieren und Verändern der gegebenen Darstellung, sowie die mehrschrittige Anwendung von mathematischen Prozeduren (beispielsweise Zerlegen, Flächenberechnung, Zusammenfassen) und den Umgang mit Termen. Daher ist die Aufgabe dem Anforderungsbereich II zuzuordnen.</w:t>
      </w:r>
    </w:p>
    <w:p w:rsidR="00694A63" w:rsidRPr="00694A63" w:rsidRDefault="00694A63" w:rsidP="00694A63">
      <w:pPr>
        <w:pStyle w:val="IQB-Teilaufgabentitel"/>
        <w:rPr>
          <w:b/>
        </w:rPr>
      </w:pPr>
      <w:r w:rsidRPr="00694A63">
        <w:rPr>
          <w:b/>
        </w:rPr>
        <w:t>Anregungen für den Unterricht</w:t>
      </w:r>
    </w:p>
    <w:p w:rsidR="008F4D93" w:rsidRDefault="008F4D93" w:rsidP="008F4D93">
      <w:pPr>
        <w:pStyle w:val="IQB-AnweisungenText"/>
        <w:spacing w:before="0"/>
        <w:rPr>
          <w:rFonts w:ascii="Arial" w:hAnsi="Arial"/>
          <w:sz w:val="22"/>
          <w:szCs w:val="22"/>
        </w:rPr>
      </w:pPr>
      <w:r>
        <w:rPr>
          <w:rFonts w:ascii="Arial" w:hAnsi="Arial"/>
          <w:sz w:val="22"/>
          <w:szCs w:val="22"/>
        </w:rPr>
        <w:t>Wurde in der Aufgabe „Der Stern“ die Figur von Schülerinnen und Schülern konkret</w:t>
      </w:r>
      <w:r>
        <w:rPr>
          <w:rFonts w:ascii="Arial" w:hAnsi="Arial"/>
          <w:sz w:val="22"/>
          <w:szCs w:val="22"/>
        </w:rPr>
        <w:t xml:space="preserve"> </w:t>
      </w:r>
      <w:r>
        <w:rPr>
          <w:rFonts w:ascii="Arial" w:hAnsi="Arial"/>
          <w:sz w:val="22"/>
          <w:szCs w:val="22"/>
        </w:rPr>
        <w:t xml:space="preserve">beschriftet, erhöht sich der diagnostische Wert der Schülerlösung. In Abbildung 1 ist eine Schülerlösung zu sehen, bei der die Teilflächen des Sterns mit Maßzahlen versehen worden sind. Die angekreuzte Lösung lässt erkennen, dass der Schüler das Prinzip der Flächenberechnung, eine unbekannte Figur in bekannte Figuren zu zerlegen, beherrscht. Er nutzt dabei die mathematische Darstellung (K4). Zum falschen Ergebnis gelangt der Schüler, weil er offensichtlich den Flächeninhalt der Dreiecksflächen nicht korrekt bestimmt hat. Sofern der Schüler versucht hat, die Dreiecksflächeninhalte mittels einer Formel zu berechnen, sollte die Kompetenz </w:t>
      </w:r>
      <w:r>
        <w:rPr>
          <w:rFonts w:ascii="Arial" w:hAnsi="Arial"/>
          <w:i/>
          <w:sz w:val="22"/>
          <w:szCs w:val="22"/>
        </w:rPr>
        <w:t>Mit symbolischen, formalen und technischen Elementen der Mathematik umgehen</w:t>
      </w:r>
      <w:r>
        <w:rPr>
          <w:rFonts w:ascii="Arial" w:hAnsi="Arial"/>
          <w:sz w:val="22"/>
          <w:szCs w:val="22"/>
        </w:rPr>
        <w:t xml:space="preserve"> (K5) in dieser Hinsicht weiter gefördert werden. Wenn der Schüler versucht hat, die Dreiecksflächen in der Abbildung mental neu zu organisieren, um so auf den Flächeninhalt zu schließen, so sollte an dieser Stelle die Kompetenz </w:t>
      </w:r>
      <w:r>
        <w:rPr>
          <w:rFonts w:ascii="Arial" w:hAnsi="Arial"/>
          <w:i/>
          <w:sz w:val="22"/>
          <w:szCs w:val="22"/>
        </w:rPr>
        <w:t>Mathematische Darstellungen verwenden</w:t>
      </w:r>
      <w:r>
        <w:rPr>
          <w:rFonts w:ascii="Arial" w:hAnsi="Arial"/>
          <w:sz w:val="22"/>
          <w:szCs w:val="22"/>
        </w:rPr>
        <w:t xml:space="preserve"> (K4) weiter gefördert werden.</w:t>
      </w:r>
    </w:p>
    <w:p w:rsidR="008F4D93" w:rsidRDefault="008F4D93" w:rsidP="008F4D93">
      <w:pPr>
        <w:pStyle w:val="IQB-AnweisungenText"/>
        <w:spacing w:after="120"/>
        <w:rPr>
          <w:rFonts w:ascii="Arial" w:hAnsi="Arial"/>
          <w:sz w:val="22"/>
          <w:szCs w:val="22"/>
        </w:rPr>
      </w:pPr>
      <w:r>
        <w:rPr>
          <w:rFonts w:ascii="Arial" w:hAnsi="Arial"/>
          <w:sz w:val="22"/>
          <w:szCs w:val="22"/>
        </w:rPr>
        <w:t xml:space="preserve">Eine Intervention seitens der Lehrkraft könnte sich die vorhandene Kompetenz im Umgang mit der mathematischen Darstellung zunutze machen, um Kompetenzen im Bereich des technischen Arbeitens weiter zu fördern. Da der Schüler verstanden hat, dass zur Berechnung des Flächeninhalts einer unbekannten Figur diese in bekannte Figuren zerlegt werden kann, ist anzunehmen, dass er ebenso versteht, dass eine „unbekannte“ Figur wie das Dreieck zu einer bekannten Figur wie dem Rechteck erweitert werden kann. Auf diesem Wege erhält der Schüler </w:t>
      </w:r>
      <w:r>
        <w:rPr>
          <w:rFonts w:ascii="Arial" w:hAnsi="Arial"/>
          <w:sz w:val="22"/>
          <w:szCs w:val="22"/>
        </w:rPr>
        <w:lastRenderedPageBreak/>
        <w:t>die Möglichkeit, die Formel zur Berechnung des Flächeninhalts eines Dreiecks argumentativ-anschaulich zu erschließen.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10"/>
      </w:tblGrid>
      <w:tr w:rsidR="008F4D93" w:rsidTr="008F4D93">
        <w:tc>
          <w:tcPr>
            <w:tcW w:w="9210" w:type="dxa"/>
            <w:tcBorders>
              <w:top w:val="single" w:sz="4" w:space="0" w:color="auto"/>
              <w:left w:val="single" w:sz="4" w:space="0" w:color="auto"/>
              <w:bottom w:val="single" w:sz="4" w:space="0" w:color="auto"/>
              <w:right w:val="single" w:sz="4" w:space="0" w:color="auto"/>
            </w:tcBorders>
            <w:vAlign w:val="center"/>
            <w:hideMark/>
          </w:tcPr>
          <w:p w:rsidR="008F4D93" w:rsidRDefault="008F4D93">
            <w:pPr>
              <w:pStyle w:val="IQB-AnweisungenText"/>
              <w:spacing w:after="60"/>
              <w:rPr>
                <w:rFonts w:ascii="Arial" w:hAnsi="Arial"/>
                <w:sz w:val="22"/>
                <w:szCs w:val="22"/>
              </w:rPr>
            </w:pPr>
            <w:r>
              <w:rPr>
                <w:noProof/>
              </w:rPr>
              <w:drawing>
                <wp:inline distT="0" distB="0" distL="0" distR="0">
                  <wp:extent cx="3856990" cy="287909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56990" cy="2879090"/>
                          </a:xfrm>
                          <a:prstGeom prst="rect">
                            <a:avLst/>
                          </a:prstGeom>
                          <a:noFill/>
                          <a:ln>
                            <a:noFill/>
                          </a:ln>
                        </pic:spPr>
                      </pic:pic>
                    </a:graphicData>
                  </a:graphic>
                </wp:inline>
              </w:drawing>
            </w:r>
          </w:p>
        </w:tc>
      </w:tr>
    </w:tbl>
    <w:p w:rsidR="008F4D93" w:rsidRDefault="008F4D93" w:rsidP="008F4D93">
      <w:pPr>
        <w:pStyle w:val="Beschriftung"/>
        <w:spacing w:before="80" w:after="120"/>
        <w:jc w:val="both"/>
        <w:rPr>
          <w:rFonts w:cs="Arial"/>
          <w:b w:val="0"/>
        </w:rPr>
      </w:pPr>
      <w:r>
        <w:rPr>
          <w:rFonts w:cs="Arial"/>
          <w:b w:val="0"/>
        </w:rPr>
        <w:t xml:space="preserve">Abbildung </w:t>
      </w:r>
      <w:r>
        <w:rPr>
          <w:rFonts w:cs="Arial"/>
          <w:b w:val="0"/>
        </w:rPr>
        <w:fldChar w:fldCharType="begin"/>
      </w:r>
      <w:r>
        <w:rPr>
          <w:rFonts w:cs="Arial"/>
          <w:b w:val="0"/>
        </w:rPr>
        <w:instrText xml:space="preserve"> SEQ Abbildung \* ARABIC </w:instrText>
      </w:r>
      <w:r>
        <w:rPr>
          <w:rFonts w:cs="Arial"/>
          <w:b w:val="0"/>
        </w:rPr>
        <w:fldChar w:fldCharType="separate"/>
      </w:r>
      <w:r>
        <w:rPr>
          <w:rFonts w:cs="Arial"/>
          <w:b w:val="0"/>
          <w:noProof/>
        </w:rPr>
        <w:t>3</w:t>
      </w:r>
      <w:r>
        <w:rPr>
          <w:rFonts w:cs="Arial"/>
          <w:b w:val="0"/>
        </w:rPr>
        <w:fldChar w:fldCharType="end"/>
      </w:r>
      <w:r>
        <w:rPr>
          <w:rFonts w:cs="Arial"/>
          <w:b w:val="0"/>
        </w:rPr>
        <w:t>: Schülerlösung</w:t>
      </w:r>
    </w:p>
    <w:p w:rsidR="008F4D93" w:rsidRDefault="008F4D93" w:rsidP="008F4D93">
      <w:pPr>
        <w:pStyle w:val="IQB-AnweisungenText"/>
        <w:spacing w:after="120"/>
        <w:rPr>
          <w:noProof/>
        </w:rPr>
      </w:pPr>
      <w:r>
        <w:rPr>
          <w:rFonts w:ascii="Arial" w:hAnsi="Arial"/>
          <w:sz w:val="22"/>
          <w:szCs w:val="22"/>
        </w:rPr>
        <w:t>Will man im Unterricht darüber hinaus Strategien zur Berechnung von Flächeninhalten unbekannter Figuren trainieren, bietet es sich an, die Aufgabe „Der Stern“ durch die folgende Beispielaufgabe zu ergänzen. Sofern die Seitenlänge der Zacken, die diagonal zu einem einzelnen Kästchen verlaufen, weder rechnerisch (Satz von Pythagoras) noch durch Messen (Zeichnung nicht maßstabsgerecht)</w:t>
      </w:r>
      <w:r>
        <w:rPr>
          <w:rFonts w:ascii="Arial" w:hAnsi="Arial"/>
        </w:rPr>
        <w:t xml:space="preserve"> </w:t>
      </w:r>
      <w:r>
        <w:rPr>
          <w:rFonts w:ascii="Arial" w:hAnsi="Arial"/>
          <w:sz w:val="22"/>
          <w:szCs w:val="22"/>
        </w:rPr>
        <w:t>ermittelt werden kann, besteht eine naheliegende Strategie darin, von der Gesamtfläche des Gitters all solche Flächen abzuziehen, die nicht zum gegeben Zackenstern gehören.</w:t>
      </w:r>
    </w:p>
    <w:p w:rsidR="008F4D93" w:rsidRDefault="008F4D93" w:rsidP="008F4D93">
      <w:pPr>
        <w:pStyle w:val="IQB-AnweisungenText"/>
        <w:spacing w:after="120"/>
        <w:rPr>
          <w:rFonts w:ascii="Arial" w:hAnsi="Arial"/>
          <w:sz w:val="22"/>
          <w:szCs w:val="22"/>
        </w:rPr>
      </w:pPr>
      <w:r>
        <w:rPr>
          <w:noProof/>
        </w:rPr>
        <w:drawing>
          <wp:inline distT="0" distB="0" distL="0" distR="0">
            <wp:extent cx="3530600" cy="2987675"/>
            <wp:effectExtent l="19050" t="19050" r="12700" b="222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9">
                      <a:extLst>
                        <a:ext uri="{28A0092B-C50C-407E-A947-70E740481C1C}">
                          <a14:useLocalDpi xmlns:a14="http://schemas.microsoft.com/office/drawing/2010/main" val="0"/>
                        </a:ext>
                      </a:extLst>
                    </a:blip>
                    <a:srcRect r="18323" b="4921"/>
                    <a:stretch>
                      <a:fillRect/>
                    </a:stretch>
                  </pic:blipFill>
                  <pic:spPr bwMode="auto">
                    <a:xfrm>
                      <a:off x="0" y="0"/>
                      <a:ext cx="3530600" cy="2987675"/>
                    </a:xfrm>
                    <a:prstGeom prst="rect">
                      <a:avLst/>
                    </a:prstGeom>
                    <a:noFill/>
                    <a:ln w="6350" cmpd="sng">
                      <a:solidFill>
                        <a:srgbClr val="000000"/>
                      </a:solidFill>
                      <a:miter lim="800000"/>
                      <a:headEnd/>
                      <a:tailEnd/>
                    </a:ln>
                    <a:effectLst/>
                  </pic:spPr>
                </pic:pic>
              </a:graphicData>
            </a:graphic>
          </wp:inline>
        </w:drawing>
      </w:r>
    </w:p>
    <w:p w:rsidR="008F4D93" w:rsidRDefault="008F4D93" w:rsidP="008F4D93">
      <w:pPr>
        <w:pStyle w:val="IQB-AnweisungenText"/>
        <w:rPr>
          <w:rFonts w:ascii="Arial" w:hAnsi="Arial"/>
          <w:sz w:val="22"/>
          <w:szCs w:val="22"/>
        </w:rPr>
      </w:pPr>
      <w:r>
        <w:rPr>
          <w:rFonts w:ascii="Arial" w:hAnsi="Arial"/>
          <w:sz w:val="22"/>
          <w:szCs w:val="22"/>
        </w:rPr>
        <w:t>Soll der Flächeninhalt hingegen „vorwärts“ berechnet werden, d.</w:t>
      </w:r>
      <w:r>
        <w:rPr>
          <w:rFonts w:ascii="Arial" w:hAnsi="Arial"/>
          <w:sz w:val="12"/>
          <w:szCs w:val="12"/>
        </w:rPr>
        <w:t> </w:t>
      </w:r>
      <w:r>
        <w:rPr>
          <w:rFonts w:ascii="Arial" w:hAnsi="Arial"/>
          <w:sz w:val="22"/>
          <w:szCs w:val="22"/>
        </w:rPr>
        <w:t xml:space="preserve">h. ohne von der Gesamt-fläche Flächeninhalte abzuziehen, so erfordert dies eine komplexere mentale Neuorganisation bei den „kleinen“ Zacken des 8-zackigen Sterns. Im Unterricht kann jedoch auch auf eine näherungsweise Bestimmung des Flächeninhalts verweisen werden. Schülerinnen und Schüler würden dann </w:t>
      </w:r>
      <w:r>
        <w:rPr>
          <w:rFonts w:ascii="Arial" w:hAnsi="Arial"/>
          <w:sz w:val="22"/>
          <w:szCs w:val="22"/>
        </w:rPr>
        <w:lastRenderedPageBreak/>
        <w:t>zunächst ganze Quadrate zählen, die zur Figur gehören, und dann überlegen, wie groß der Flächeninhalt ist, der von Dreiecksflächen nur teilweise ausgefüllt wird.</w:t>
      </w:r>
    </w:p>
    <w:p w:rsidR="008F4D93" w:rsidRDefault="008F4D93" w:rsidP="008F4D93">
      <w:pPr>
        <w:pStyle w:val="IQB-AnweisungenText"/>
        <w:rPr>
          <w:rFonts w:ascii="Arial" w:hAnsi="Arial"/>
          <w:sz w:val="22"/>
          <w:szCs w:val="22"/>
        </w:rPr>
      </w:pPr>
      <w:r>
        <w:rPr>
          <w:rFonts w:ascii="Arial" w:hAnsi="Arial"/>
          <w:sz w:val="22"/>
          <w:szCs w:val="22"/>
        </w:rPr>
        <w:t xml:space="preserve">Flankierend können in die Bestimmung des Flächeninhalts Überlegungen zur Symmetrie der Figur aufgenommen werden. Es müsste dann lediglich der Flächeninhalt eines Viertels des Zacken-Sterns bestimmt werden. </w:t>
      </w:r>
    </w:p>
    <w:p w:rsidR="008F4D93" w:rsidRDefault="008F4D93" w:rsidP="008F4D93">
      <w:pPr>
        <w:pStyle w:val="IQB-AnweisungenText"/>
        <w:rPr>
          <w:rFonts w:ascii="Arial" w:hAnsi="Arial"/>
          <w:sz w:val="22"/>
          <w:szCs w:val="22"/>
        </w:rPr>
      </w:pPr>
      <w:r>
        <w:rPr>
          <w:rFonts w:ascii="Arial" w:hAnsi="Arial"/>
          <w:sz w:val="22"/>
          <w:szCs w:val="22"/>
        </w:rPr>
        <w:t>Eine weitere Strategie zur Bestimmung des Flächeninhalts könnte darin besteh</w:t>
      </w:r>
      <w:bookmarkStart w:id="0" w:name="_GoBack"/>
      <w:bookmarkEnd w:id="0"/>
      <w:r>
        <w:rPr>
          <w:rFonts w:ascii="Arial" w:hAnsi="Arial"/>
          <w:sz w:val="22"/>
          <w:szCs w:val="22"/>
        </w:rPr>
        <w:t xml:space="preserve">en, die Figur neu und dann maßstabsgerecht zu zeichnen. Ein solches Vorgehen erlaubt es, die Diagonale in einem Kästchen (Grundseite der „kleinen“ Zacken) zu messen. Es muss nicht auf den Satz von Pythagoras zurückgegriffen werden. </w:t>
      </w:r>
    </w:p>
    <w:p w:rsidR="008F4D93" w:rsidRDefault="008F4D93" w:rsidP="008F4D93">
      <w:pPr>
        <w:pStyle w:val="IQB-AnweisungenText"/>
        <w:rPr>
          <w:rFonts w:ascii="Arial" w:hAnsi="Arial"/>
          <w:sz w:val="22"/>
          <w:szCs w:val="22"/>
        </w:rPr>
      </w:pPr>
      <w:r>
        <w:rPr>
          <w:rFonts w:ascii="Arial" w:hAnsi="Arial"/>
          <w:sz w:val="22"/>
          <w:szCs w:val="22"/>
        </w:rPr>
        <w:t>Um Problemlösekompetenzen im Unterricht bezüglich der Flächeninhaltsberechnung zu fördern, sollten möglichst verschiedene Strategien erarbeitet und systematisiert werden.</w:t>
      </w:r>
    </w:p>
    <w:p w:rsidR="00694A63" w:rsidRPr="005B2F65" w:rsidRDefault="00694A63" w:rsidP="008F4D93">
      <w:pPr>
        <w:pStyle w:val="IQB-AnweisungenText"/>
        <w:spacing w:before="0"/>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8738E1DA-8ACF-426D-A298-5DC721A229BD}"/>
    <w:embedBold r:id="rId2" w:fontKey="{BDFC2E2A-433A-4544-967B-0CEEBD80FBB4}"/>
    <w:embedItalic r:id="rId3" w:fontKey="{7938F286-BFA3-4282-9B56-D163D189191F}"/>
    <w:embedBoldItalic r:id="rId4" w:fontKey="{57E02514-16A3-41B9-A680-E781D070414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22B30"/>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8F4D93"/>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5F27245D"/>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653397">
      <w:bodyDiv w:val="1"/>
      <w:marLeft w:val="0"/>
      <w:marRight w:val="0"/>
      <w:marTop w:val="0"/>
      <w:marBottom w:val="0"/>
      <w:divBdr>
        <w:top w:val="none" w:sz="0" w:space="0" w:color="auto"/>
        <w:left w:val="none" w:sz="0" w:space="0" w:color="auto"/>
        <w:bottom w:val="none" w:sz="0" w:space="0" w:color="auto"/>
        <w:right w:val="none" w:sz="0" w:space="0" w:color="auto"/>
      </w:divBdr>
    </w:div>
    <w:div w:id="415975030">
      <w:bodyDiv w:val="1"/>
      <w:marLeft w:val="0"/>
      <w:marRight w:val="0"/>
      <w:marTop w:val="0"/>
      <w:marBottom w:val="0"/>
      <w:divBdr>
        <w:top w:val="none" w:sz="0" w:space="0" w:color="auto"/>
        <w:left w:val="none" w:sz="0" w:space="0" w:color="auto"/>
        <w:bottom w:val="none" w:sz="0" w:space="0" w:color="auto"/>
        <w:right w:val="none" w:sz="0" w:space="0" w:color="auto"/>
      </w:divBdr>
    </w:div>
    <w:div w:id="605385940">
      <w:bodyDiv w:val="1"/>
      <w:marLeft w:val="0"/>
      <w:marRight w:val="0"/>
      <w:marTop w:val="0"/>
      <w:marBottom w:val="0"/>
      <w:divBdr>
        <w:top w:val="none" w:sz="0" w:space="0" w:color="auto"/>
        <w:left w:val="none" w:sz="0" w:space="0" w:color="auto"/>
        <w:bottom w:val="none" w:sz="0" w:space="0" w:color="auto"/>
        <w:right w:val="none" w:sz="0" w:space="0" w:color="auto"/>
      </w:divBdr>
    </w:div>
    <w:div w:id="888225161">
      <w:bodyDiv w:val="1"/>
      <w:marLeft w:val="0"/>
      <w:marRight w:val="0"/>
      <w:marTop w:val="0"/>
      <w:marBottom w:val="0"/>
      <w:divBdr>
        <w:top w:val="none" w:sz="0" w:space="0" w:color="auto"/>
        <w:left w:val="none" w:sz="0" w:space="0" w:color="auto"/>
        <w:bottom w:val="none" w:sz="0" w:space="0" w:color="auto"/>
        <w:right w:val="none" w:sz="0" w:space="0" w:color="auto"/>
      </w:divBdr>
    </w:div>
    <w:div w:id="1209418742">
      <w:bodyDiv w:val="1"/>
      <w:marLeft w:val="0"/>
      <w:marRight w:val="0"/>
      <w:marTop w:val="0"/>
      <w:marBottom w:val="0"/>
      <w:divBdr>
        <w:top w:val="none" w:sz="0" w:space="0" w:color="auto"/>
        <w:left w:val="none" w:sz="0" w:space="0" w:color="auto"/>
        <w:bottom w:val="none" w:sz="0" w:space="0" w:color="auto"/>
        <w:right w:val="none" w:sz="0" w:space="0" w:color="auto"/>
      </w:divBdr>
    </w:div>
    <w:div w:id="1292596382">
      <w:bodyDiv w:val="1"/>
      <w:marLeft w:val="0"/>
      <w:marRight w:val="0"/>
      <w:marTop w:val="0"/>
      <w:marBottom w:val="0"/>
      <w:divBdr>
        <w:top w:val="none" w:sz="0" w:space="0" w:color="auto"/>
        <w:left w:val="none" w:sz="0" w:space="0" w:color="auto"/>
        <w:bottom w:val="none" w:sz="0" w:space="0" w:color="auto"/>
        <w:right w:val="none" w:sz="0" w:space="0" w:color="auto"/>
      </w:divBdr>
    </w:div>
    <w:div w:id="2071808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763F9-BC11-4CA9-8603-A9AD5FB2D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644</Words>
  <Characters>4283</Characters>
  <Application>Microsoft Office Word</Application>
  <DocSecurity>0</DocSecurity>
  <Lines>85</Lines>
  <Paragraphs>55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2025-07-21T11:22:00Z</dcterms:created>
  <dcterms:modified xsi:type="dcterms:W3CDTF">2025-07-21T11:22:00Z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